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JORDAN ELLIS</w:t>
      </w:r>
    </w:p>
    <w:p>
      <w:pPr>
        <w:jc w:val="center"/>
      </w:pPr>
      <w:r>
        <w:rPr>
          <w:sz w:val="20"/>
        </w:rPr>
        <w:t>City, ST  |  (555) 010-0142  |  jordan.ellis@email.com  |  linkedin.com/in/jordanellis</w:t>
      </w:r>
    </w:p>
    <w:p>
      <w:pPr>
        <w:spacing w:before="180" w:after="60"/>
        <w:pBdr>
          <w:bottom w:val="single" w:sz="6" w:space="1" w:color="000000"/>
        </w:pBdr>
      </w:pPr>
      <w:r>
        <w:rPr>
          <w:b/>
          <w:sz w:val="22"/>
        </w:rPr>
        <w:t>EDUCATION</w:t>
      </w:r>
    </w:p>
    <w:tbl>
      <w:tblPr>
        <w:tblW w:type="dxa" w:w="10224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ayout w:type="fixed"/>
      </w:tblPr>
      <w:tblGrid>
        <w:gridCol w:w="7361"/>
        <w:gridCol w:w="2862"/>
      </w:tblGrid>
      <w:tr>
        <w:tc>
          <w:tcPr>
            <w:tcW w:type="dxa" w:w="7361"/>
          </w:tcPr>
          <w:p>
            <w:r>
              <w:rPr>
                <w:b/>
                <w:i w:val="0"/>
              </w:rPr>
              <w:t>State University, School of Business</w:t>
            </w:r>
          </w:p>
        </w:tc>
        <w:tc>
          <w:tcPr>
            <w:tcW w:type="dxa" w:w="2863"/>
          </w:tcPr>
          <w:p>
            <w:pPr>
              <w:jc w:val="right"/>
            </w:pPr>
            <w:r>
              <w:rPr>
                <w:b/>
                <w:i w:val="0"/>
              </w:rPr>
              <w:t>City, ST</w:t>
            </w:r>
          </w:p>
        </w:tc>
      </w:tr>
      <w:tr>
        <w:tc>
          <w:tcPr>
            <w:tcW w:type="dxa" w:w="7361"/>
          </w:tcPr>
          <w:p>
            <w:r>
              <w:rPr>
                <w:b w:val="0"/>
                <w:i/>
              </w:rPr>
              <w:t>Bachelor of Science in Finance, Minor in Economics</w:t>
            </w:r>
          </w:p>
        </w:tc>
        <w:tc>
          <w:tcPr>
            <w:tcW w:type="dxa" w:w="2863"/>
          </w:tcPr>
          <w:p>
            <w:pPr>
              <w:jc w:val="right"/>
            </w:pPr>
            <w:r>
              <w:rPr>
                <w:b w:val="0"/>
                <w:i/>
              </w:rPr>
              <w:t>Expected May 2027</w:t>
            </w:r>
          </w:p>
        </w:tc>
      </w:tr>
    </w:tbl>
    <w:p>
      <w:pPr>
        <w:ind w:left="360" w:hanging="216"/>
      </w:pPr>
      <w:r>
        <w:t>•  GPA: 3.8/4.0; SAT: 1510</w:t>
      </w:r>
    </w:p>
    <w:p>
      <w:pPr>
        <w:ind w:left="360" w:hanging="216"/>
      </w:pPr>
      <w:r>
        <w:t>•  Honors: Dean's List (6 semesters), Business School Merit Scholarship (top 5% of entering class)</w:t>
      </w:r>
    </w:p>
    <w:p>
      <w:pPr>
        <w:ind w:left="360" w:hanging="216"/>
      </w:pPr>
      <w:r>
        <w:t>•  Relevant coursework: Corporate Finance, Financial Accounting, Valuation, Mergers and Acquisitions</w:t>
      </w:r>
    </w:p>
    <w:p>
      <w:pPr>
        <w:spacing w:before="180" w:after="60"/>
        <w:pBdr>
          <w:bottom w:val="single" w:sz="6" w:space="1" w:color="000000"/>
        </w:pBdr>
      </w:pPr>
      <w:r>
        <w:rPr>
          <w:b/>
          <w:sz w:val="22"/>
        </w:rPr>
        <w:t>EXPERIENCE</w:t>
      </w:r>
    </w:p>
    <w:tbl>
      <w:tblPr>
        <w:tblW w:type="dxa" w:w="10224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ayout w:type="fixed"/>
      </w:tblPr>
      <w:tblGrid>
        <w:gridCol w:w="7361"/>
        <w:gridCol w:w="2862"/>
      </w:tblGrid>
      <w:tr>
        <w:tc>
          <w:tcPr>
            <w:tcW w:type="dxa" w:w="7361"/>
          </w:tcPr>
          <w:p>
            <w:r>
              <w:rPr>
                <w:b/>
                <w:i w:val="0"/>
              </w:rPr>
              <w:t>Middle-Market Investment Bank</w:t>
            </w:r>
          </w:p>
        </w:tc>
        <w:tc>
          <w:tcPr>
            <w:tcW w:type="dxa" w:w="2863"/>
          </w:tcPr>
          <w:p>
            <w:pPr>
              <w:jc w:val="right"/>
            </w:pPr>
            <w:r>
              <w:rPr>
                <w:b/>
                <w:i w:val="0"/>
              </w:rPr>
              <w:t>City, ST</w:t>
            </w:r>
          </w:p>
        </w:tc>
      </w:tr>
      <w:tr>
        <w:tc>
          <w:tcPr>
            <w:tcW w:type="dxa" w:w="7361"/>
          </w:tcPr>
          <w:p>
            <w:r>
              <w:rPr>
                <w:b w:val="0"/>
                <w:i/>
              </w:rPr>
              <w:t>Investment Banking Summer Analyst, Industrials Group</w:t>
            </w:r>
          </w:p>
        </w:tc>
        <w:tc>
          <w:tcPr>
            <w:tcW w:type="dxa" w:w="2863"/>
          </w:tcPr>
          <w:p>
            <w:pPr>
              <w:jc w:val="right"/>
            </w:pPr>
            <w:r>
              <w:rPr>
                <w:b w:val="0"/>
                <w:i/>
              </w:rPr>
              <w:t>June 2026 – Aug. 2026</w:t>
            </w:r>
          </w:p>
        </w:tc>
      </w:tr>
    </w:tbl>
    <w:p>
      <w:pPr>
        <w:ind w:left="360" w:hanging="216"/>
      </w:pPr>
      <w:r>
        <w:t>•  Built a three-statement model and DCF for the $240M sell-side sale of a packaging manufacturer; the valuation range set the price guidance sent to 38 potential buyers</w:t>
      </w:r>
    </w:p>
    <w:p>
      <w:pPr>
        <w:ind w:left="360" w:hanging="216"/>
      </w:pPr>
      <w:r>
        <w:t>•  Drafted 14 pages of the confidential information memorandum, including the industry overview and the historical financial summary</w:t>
      </w:r>
    </w:p>
    <w:p>
      <w:pPr>
        <w:ind w:left="360" w:hanging="216"/>
      </w:pPr>
      <w:r>
        <w:t>•  Ran trading comparables on 12 public peers and precedent transactions on 19 deals to support a $95M acquisition by a private equity client</w:t>
      </w:r>
    </w:p>
    <w:p>
      <w:pPr>
        <w:ind w:left="360" w:hanging="216"/>
      </w:pPr>
      <w:r>
        <w:t>•  Screened 160 strategic and financial buyers by size, end market and past deals; 9 of the 21 that signed NDAs came from this list</w:t>
      </w:r>
    </w:p>
    <w:tbl>
      <w:tblPr>
        <w:tblW w:type="dxa" w:w="10224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ayout w:type="fixed"/>
      </w:tblPr>
      <w:tblGrid>
        <w:gridCol w:w="7361"/>
        <w:gridCol w:w="2862"/>
      </w:tblGrid>
      <w:tr>
        <w:tc>
          <w:tcPr>
            <w:tcW w:type="dxa" w:w="7361"/>
          </w:tcPr>
          <w:p>
            <w:pPr>
              <w:spacing w:before="100"/>
            </w:pPr>
            <w:r>
              <w:rPr>
                <w:b/>
                <w:i w:val="0"/>
              </w:rPr>
              <w:t>Regional Private Equity Firm</w:t>
            </w:r>
          </w:p>
        </w:tc>
        <w:tc>
          <w:tcPr>
            <w:tcW w:type="dxa" w:w="2863"/>
          </w:tcPr>
          <w:p>
            <w:pPr>
              <w:spacing w:before="100"/>
              <w:jc w:val="right"/>
            </w:pPr>
            <w:r>
              <w:rPr>
                <w:b/>
                <w:i w:val="0"/>
              </w:rPr>
              <w:t>City, ST</w:t>
            </w:r>
          </w:p>
        </w:tc>
      </w:tr>
      <w:tr>
        <w:tc>
          <w:tcPr>
            <w:tcW w:type="dxa" w:w="7361"/>
          </w:tcPr>
          <w:p>
            <w:r>
              <w:rPr>
                <w:b w:val="0"/>
                <w:i/>
              </w:rPr>
              <w:t>Private Equity Intern</w:t>
            </w:r>
          </w:p>
        </w:tc>
        <w:tc>
          <w:tcPr>
            <w:tcW w:type="dxa" w:w="2863"/>
          </w:tcPr>
          <w:p>
            <w:pPr>
              <w:jc w:val="right"/>
            </w:pPr>
            <w:r>
              <w:rPr>
                <w:b w:val="0"/>
                <w:i/>
              </w:rPr>
              <w:t>Jan. 2026 – May 2026</w:t>
            </w:r>
          </w:p>
        </w:tc>
      </w:tr>
    </w:tbl>
    <w:p>
      <w:pPr>
        <w:ind w:left="360" w:hanging="216"/>
      </w:pPr>
      <w:r>
        <w:t>•  Wrote investment memos on 4 add-on targets for a portfolio HVAC services company, covering market, margins and integration risks</w:t>
      </w:r>
    </w:p>
    <w:p>
      <w:pPr>
        <w:ind w:left="360" w:hanging="216"/>
      </w:pPr>
      <w:r>
        <w:t>•  Built an LBO model for a $60M add-on at 7.0x EBITDA; showed a 24% IRR in the base case and 17% with no margin gains</w:t>
      </w:r>
    </w:p>
    <w:p>
      <w:pPr>
        <w:ind w:left="360" w:hanging="216"/>
      </w:pPr>
      <w:r>
        <w:t>•  Rebuilt the monthly portfolio dashboard in Excel, cutting reporting time from 2 days to 3 hours</w:t>
      </w:r>
    </w:p>
    <w:tbl>
      <w:tblPr>
        <w:tblW w:type="dxa" w:w="10224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ayout w:type="fixed"/>
      </w:tblPr>
      <w:tblGrid>
        <w:gridCol w:w="7361"/>
        <w:gridCol w:w="2862"/>
      </w:tblGrid>
      <w:tr>
        <w:tc>
          <w:tcPr>
            <w:tcW w:type="dxa" w:w="7361"/>
          </w:tcPr>
          <w:p>
            <w:pPr>
              <w:spacing w:before="100"/>
            </w:pPr>
            <w:r>
              <w:rPr>
                <w:b/>
                <w:i w:val="0"/>
              </w:rPr>
              <w:t>State University Student Investment Fund</w:t>
            </w:r>
          </w:p>
        </w:tc>
        <w:tc>
          <w:tcPr>
            <w:tcW w:type="dxa" w:w="2863"/>
          </w:tcPr>
          <w:p>
            <w:pPr>
              <w:spacing w:before="100"/>
              <w:jc w:val="right"/>
            </w:pPr>
            <w:r>
              <w:rPr>
                <w:b/>
                <w:i w:val="0"/>
              </w:rPr>
              <w:t>City, ST</w:t>
            </w:r>
          </w:p>
        </w:tc>
      </w:tr>
      <w:tr>
        <w:tc>
          <w:tcPr>
            <w:tcW w:type="dxa" w:w="7361"/>
          </w:tcPr>
          <w:p>
            <w:r>
              <w:rPr>
                <w:b w:val="0"/>
                <w:i/>
              </w:rPr>
              <w:t>Senior Analyst, Consumer Sector</w:t>
            </w:r>
          </w:p>
        </w:tc>
        <w:tc>
          <w:tcPr>
            <w:tcW w:type="dxa" w:w="2863"/>
          </w:tcPr>
          <w:p>
            <w:pPr>
              <w:jc w:val="right"/>
            </w:pPr>
            <w:r>
              <w:rPr>
                <w:b w:val="0"/>
                <w:i/>
              </w:rPr>
              <w:t>Sept. 2024 – Present</w:t>
            </w:r>
          </w:p>
        </w:tc>
      </w:tr>
    </w:tbl>
    <w:p>
      <w:pPr>
        <w:ind w:left="360" w:hanging="216"/>
      </w:pPr>
      <w:r>
        <w:t>•  Pitched 3 consumer stocks to a 15-person investment committee; 2 were bought, and the larger position returned 18% in its first year against 11% for the benchmark</w:t>
      </w:r>
    </w:p>
    <w:p>
      <w:pPr>
        <w:ind w:left="360" w:hanging="216"/>
      </w:pPr>
      <w:r>
        <w:t>•  Lead a team of 4 analysts covering 22 consumer companies; run weekly earnings reviews and model updates</w:t>
      </w:r>
    </w:p>
    <w:p>
      <w:pPr>
        <w:spacing w:before="180" w:after="60"/>
        <w:pBdr>
          <w:bottom w:val="single" w:sz="6" w:space="1" w:color="000000"/>
        </w:pBdr>
      </w:pPr>
      <w:r>
        <w:rPr>
          <w:b/>
          <w:sz w:val="22"/>
        </w:rPr>
        <w:t>LEADERSHIP</w:t>
      </w:r>
    </w:p>
    <w:tbl>
      <w:tblPr>
        <w:tblW w:type="dxa" w:w="10224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ayout w:type="fixed"/>
      </w:tblPr>
      <w:tblGrid>
        <w:gridCol w:w="7361"/>
        <w:gridCol w:w="2862"/>
      </w:tblGrid>
      <w:tr>
        <w:tc>
          <w:tcPr>
            <w:tcW w:type="dxa" w:w="7361"/>
          </w:tcPr>
          <w:p>
            <w:r>
              <w:rPr>
                <w:b/>
                <w:i w:val="0"/>
              </w:rPr>
              <w:t>Finance Society</w:t>
            </w:r>
          </w:p>
        </w:tc>
        <w:tc>
          <w:tcPr>
            <w:tcW w:type="dxa" w:w="2863"/>
          </w:tcPr>
          <w:p>
            <w:pPr>
              <w:jc w:val="right"/>
            </w:pPr>
            <w:r>
              <w:rPr>
                <w:b/>
                <w:i w:val="0"/>
              </w:rPr>
              <w:t>City, ST</w:t>
            </w:r>
          </w:p>
        </w:tc>
      </w:tr>
      <w:tr>
        <w:tc>
          <w:tcPr>
            <w:tcW w:type="dxa" w:w="7361"/>
          </w:tcPr>
          <w:p>
            <w:r>
              <w:rPr>
                <w:b w:val="0"/>
                <w:i/>
              </w:rPr>
              <w:t>Vice President, Recruiting</w:t>
            </w:r>
          </w:p>
        </w:tc>
        <w:tc>
          <w:tcPr>
            <w:tcW w:type="dxa" w:w="2863"/>
          </w:tcPr>
          <w:p>
            <w:pPr>
              <w:jc w:val="right"/>
            </w:pPr>
            <w:r>
              <w:rPr>
                <w:b w:val="0"/>
                <w:i/>
              </w:rPr>
              <w:t>Sept. 2025 – Present</w:t>
            </w:r>
          </w:p>
        </w:tc>
      </w:tr>
    </w:tbl>
    <w:p>
      <w:pPr>
        <w:ind w:left="360" w:hanging="216"/>
      </w:pPr>
      <w:r>
        <w:t>•  Organized 11 firm presentations and a 6-week technical training series for 140 members; 23 members received banking or private equity internship offers</w:t>
      </w:r>
    </w:p>
    <w:p>
      <w:pPr>
        <w:spacing w:before="180" w:after="60"/>
        <w:pBdr>
          <w:bottom w:val="single" w:sz="6" w:space="1" w:color="000000"/>
        </w:pBdr>
      </w:pPr>
      <w:r>
        <w:rPr>
          <w:b/>
          <w:sz w:val="22"/>
        </w:rPr>
        <w:t>SKILLS &amp; INTERESTS</w:t>
      </w:r>
    </w:p>
    <w:p>
      <w:r>
        <w:rPr>
          <w:b/>
        </w:rPr>
        <w:t xml:space="preserve">Technical: </w:t>
      </w:r>
      <w:r>
        <w:t>Excel (financial modeling, VBA), PowerPoint, Capital IQ, FactSet, Python (pandas)</w:t>
      </w:r>
    </w:p>
    <w:p>
      <w:r>
        <w:rPr>
          <w:b/>
        </w:rPr>
        <w:t xml:space="preserve">Certifications: </w:t>
      </w:r>
      <w:r>
        <w:t>Bloomberg Market Concepts, Excel modeling course (40 hours)</w:t>
      </w:r>
    </w:p>
    <w:p>
      <w:r>
        <w:rPr>
          <w:b/>
        </w:rPr>
        <w:t xml:space="preserve">Languages: </w:t>
      </w:r>
      <w:r>
        <w:t>Spanish (professional working proficiency)</w:t>
      </w:r>
    </w:p>
    <w:p>
      <w:r>
        <w:rPr>
          <w:b/>
        </w:rPr>
        <w:t xml:space="preserve">Interests: </w:t>
      </w:r>
      <w:r>
        <w:t>Distance running (2 marathons), restoring vintage road bikes, chess (club rating 1650)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Investment banking resume template</dc:title>
  <dc:subject/>
  <dc:creator>Soreno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